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EF" w:rsidRPr="007D2C51" w:rsidRDefault="00C415EF" w:rsidP="00C415EF">
      <w:pPr>
        <w:pStyle w:val="CM40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D2C51">
        <w:rPr>
          <w:rFonts w:ascii="Arial" w:hAnsi="Arial" w:cs="Arial"/>
          <w:b/>
          <w:bCs/>
          <w:caps/>
          <w:sz w:val="22"/>
          <w:szCs w:val="22"/>
        </w:rPr>
        <w:t>Liste des tÂches professionnelles</w:t>
      </w:r>
    </w:p>
    <w:tbl>
      <w:tblPr>
        <w:tblW w:w="10646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2141"/>
        <w:gridCol w:w="8505"/>
      </w:tblGrid>
      <w:tr w:rsidR="00C415EF" w:rsidRPr="000952A0" w:rsidTr="00C415EF">
        <w:trPr>
          <w:trHeight w:val="322"/>
        </w:trPr>
        <w:tc>
          <w:tcPr>
            <w:tcW w:w="2141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F1F1F1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HABILITATION</w:t>
            </w:r>
          </w:p>
        </w:tc>
        <w:tc>
          <w:tcPr>
            <w:tcW w:w="850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F1F1F1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</w:pPr>
            <w:r w:rsidRPr="000952A0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>TÂches</w:t>
            </w:r>
          </w:p>
        </w:tc>
      </w:tr>
      <w:tr w:rsidR="00C415EF" w:rsidRPr="000952A0" w:rsidTr="00C415EF">
        <w:trPr>
          <w:cantSplit/>
          <w:trHeight w:val="397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Pr="000952A0">
              <w:rPr>
                <w:rFonts w:ascii="Arial" w:hAnsi="Arial" w:cs="Arial"/>
                <w:color w:val="auto"/>
                <w:sz w:val="22"/>
              </w:rPr>
              <w:t>effectuer des opérations d’ordre non électrique hors tension ou en zone de voisinage simple (zone 1) en tant qu’exécutant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</w:rPr>
              <w:t>Tâche 2</w:t>
            </w:r>
            <w:r w:rsidRPr="000952A0">
              <w:rPr>
                <w:rFonts w:ascii="Arial" w:hAnsi="Arial" w:cs="Arial"/>
                <w:color w:val="auto"/>
                <w:sz w:val="22"/>
              </w:rPr>
              <w:t> : organiser et effectuer des opérations d’ordre non électrique hors tension ou en zone de voisinage simple (zone 1) en tant que chargé de chantier</w:t>
            </w:r>
          </w:p>
        </w:tc>
      </w:tr>
      <w:tr w:rsidR="00C415EF" w:rsidRPr="000952A0" w:rsidTr="00C415EF">
        <w:trPr>
          <w:trHeight w:val="567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BS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effectuer une intervention BT élémentaire sur un élément d’installation hors tension et en dehors de la zone 4</w:t>
            </w:r>
          </w:p>
        </w:tc>
      </w:tr>
      <w:tr w:rsidR="00C415EF" w:rsidRPr="000952A0" w:rsidTr="00C415EF">
        <w:trPr>
          <w:trHeight w:val="567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BE Mesurage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effectuer des opérations de mesurage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et en zone de voisinage simple </w:t>
            </w:r>
            <w:r w:rsidRPr="000952A0">
              <w:rPr>
                <w:rFonts w:ascii="Arial" w:hAnsi="Arial" w:cs="Arial"/>
                <w:color w:val="auto"/>
                <w:sz w:val="22"/>
              </w:rPr>
              <w:t>(zone 1)</w:t>
            </w:r>
          </w:p>
        </w:tc>
      </w:tr>
      <w:tr w:rsidR="00C415EF" w:rsidRPr="000952A0" w:rsidTr="00C415EF">
        <w:trPr>
          <w:trHeight w:val="567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BE Essai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conduire et réaliser un essai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et en zone de voisinage simple </w:t>
            </w:r>
            <w:r w:rsidRPr="000952A0">
              <w:rPr>
                <w:rFonts w:ascii="Arial" w:hAnsi="Arial" w:cs="Arial"/>
                <w:color w:val="auto"/>
                <w:sz w:val="22"/>
              </w:rPr>
              <w:t>(zone 1)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en assurant sa protection et celle des tiers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2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réaliser une consignation pour son propre compte </w:t>
            </w:r>
          </w:p>
        </w:tc>
      </w:tr>
      <w:tr w:rsidR="00C415EF" w:rsidRPr="000952A0" w:rsidTr="00C415EF">
        <w:trPr>
          <w:trHeight w:val="567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BP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effectuer des opérations simples sur les chaînes PV des installations photovoltaïques,</w:t>
            </w:r>
            <w:r w:rsidRPr="000952A0">
              <w:rPr>
                <w:rFonts w:ascii="Arial" w:hAnsi="Arial" w:cs="Arial"/>
                <w:color w:val="auto"/>
                <w:sz w:val="22"/>
              </w:rPr>
              <w:t xml:space="preserve"> mettre en place des modules photovoltaïques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>, installer des connecteurs (degré de protection minimal IP2x) adaptés au contexte, raccorder des modules par connecteurs, ins</w:t>
            </w:r>
            <w:r w:rsidRPr="000952A0">
              <w:rPr>
                <w:rFonts w:ascii="Arial" w:hAnsi="Arial" w:cs="Arial"/>
                <w:color w:val="auto"/>
                <w:sz w:val="22"/>
              </w:rPr>
              <w:t>taller un écran opaque, nettoyer la surface exposée à la lumière</w:t>
            </w:r>
          </w:p>
        </w:tc>
      </w:tr>
      <w:tr w:rsidR="00C415EF" w:rsidRPr="000952A0" w:rsidTr="00C415EF">
        <w:trPr>
          <w:trHeight w:val="1310"/>
        </w:trPr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B1 - B1V – B1VL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exécuter des opérations d’ordre électrique hors tension (B1)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2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exécuter des opérations d’ordre électrique (dont des mesures de grandeurs électriques)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(B1V-B1VL) ou en zone de voisinage simple </w:t>
            </w:r>
            <w:r w:rsidRPr="000952A0">
              <w:rPr>
                <w:rFonts w:ascii="Arial" w:hAnsi="Arial" w:cs="Arial"/>
                <w:color w:val="auto"/>
                <w:sz w:val="22"/>
              </w:rPr>
              <w:t>(zone 1) (B1)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Tâche 3 : </w:t>
            </w:r>
            <w:r w:rsidRPr="000952A0">
              <w:rPr>
                <w:rFonts w:ascii="Arial" w:hAnsi="Arial" w:cs="Arial"/>
                <w:color w:val="auto"/>
                <w:sz w:val="22"/>
              </w:rPr>
              <w:t>poser une nappe isolante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color w:val="auto"/>
                <w:sz w:val="22"/>
              </w:rPr>
              <w:t xml:space="preserve"> (zone 4) (en vue d'effectuer une opération d'ordre électrique) ou déposer celle-ci (B1V-B1VL)</w:t>
            </w:r>
          </w:p>
        </w:tc>
      </w:tr>
      <w:tr w:rsidR="00C415EF" w:rsidRPr="000952A0" w:rsidTr="00C415EF"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B2 - B2V - B2VL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assurer la direction de travaux confiés à des exécutants et faire exécuter des opérations d’ordre électrique hors tension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(B2V-B2VL), ou en zone de voisinage simple</w:t>
            </w:r>
            <w:r w:rsidRPr="000952A0">
              <w:rPr>
                <w:rFonts w:ascii="Arial" w:hAnsi="Arial" w:cs="Arial"/>
                <w:color w:val="auto"/>
                <w:sz w:val="22"/>
              </w:rPr>
              <w:t xml:space="preserve"> (zone 1) (B2)</w:t>
            </w:r>
          </w:p>
          <w:p w:rsidR="00C415EF" w:rsidRPr="00D342C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bookmarkStart w:id="0" w:name="_GoBack"/>
            <w:r w:rsidRPr="00D342C0">
              <w:rPr>
                <w:rFonts w:ascii="Arial" w:hAnsi="Arial" w:cs="Arial"/>
                <w:bCs/>
                <w:color w:val="auto"/>
                <w:sz w:val="22"/>
              </w:rPr>
              <w:t>Tâche 2 : réaliser la deuxième étape de la consignation dans le cadre d’une consignation en deux étapes puis commencer les travaux (B2 ou B2V)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r w:rsidRPr="00D342C0">
              <w:rPr>
                <w:rFonts w:ascii="Arial" w:hAnsi="Arial" w:cs="Arial"/>
                <w:bCs/>
                <w:color w:val="auto"/>
                <w:sz w:val="22"/>
              </w:rPr>
              <w:t>Tâche 3 : poser (ou</w:t>
            </w:r>
            <w:r w:rsidRPr="000952A0">
              <w:rPr>
                <w:rFonts w:ascii="Arial" w:hAnsi="Arial" w:cs="Arial"/>
                <w:color w:val="auto"/>
                <w:sz w:val="22"/>
              </w:rPr>
              <w:t xml:space="preserve"> </w:t>
            </w:r>
            <w:bookmarkEnd w:id="0"/>
            <w:r w:rsidRPr="000952A0">
              <w:rPr>
                <w:rFonts w:ascii="Arial" w:hAnsi="Arial" w:cs="Arial"/>
                <w:color w:val="auto"/>
                <w:sz w:val="22"/>
              </w:rPr>
              <w:t>déposer) ou faire poser (ou déposer) une nappe isolante en vue d’effectuer ou de faire effectuer un travail d’ordre électrique dans la zone de voisinage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(B2V-B2VL)</w:t>
            </w:r>
          </w:p>
        </w:tc>
      </w:tr>
      <w:tr w:rsidR="00C415EF" w:rsidRPr="000952A0" w:rsidTr="00C415EF"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BR - BR Photovoltaïque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mettre en service une installation électrique nécessitant des tâches de mesurage / réglage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2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intervenir suite à une panne :</w:t>
            </w:r>
          </w:p>
          <w:p w:rsidR="00C415EF" w:rsidRPr="000952A0" w:rsidRDefault="00C415EF" w:rsidP="00C415EF">
            <w:pPr>
              <w:pStyle w:val="Normal1"/>
              <w:numPr>
                <w:ilvl w:val="2"/>
                <w:numId w:val="1"/>
              </w:numPr>
              <w:tabs>
                <w:tab w:val="clear" w:pos="2160"/>
              </w:tabs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bCs/>
                <w:color w:val="auto"/>
                <w:sz w:val="22"/>
              </w:rPr>
              <w:t>La recherche de l’élément défaillant pourra s’effectuer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 ou en zone de voisinage simple </w:t>
            </w:r>
            <w:r w:rsidRPr="000952A0">
              <w:rPr>
                <w:rFonts w:ascii="Arial" w:hAnsi="Arial" w:cs="Arial"/>
                <w:color w:val="auto"/>
                <w:sz w:val="22"/>
              </w:rPr>
              <w:t>(zone 1)</w:t>
            </w:r>
          </w:p>
          <w:p w:rsidR="00C415EF" w:rsidRPr="000952A0" w:rsidRDefault="00C415EF" w:rsidP="00C415EF">
            <w:pPr>
              <w:pStyle w:val="Normal1"/>
              <w:numPr>
                <w:ilvl w:val="2"/>
                <w:numId w:val="1"/>
              </w:numPr>
              <w:tabs>
                <w:tab w:val="clear" w:pos="2160"/>
              </w:tabs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952A0">
              <w:rPr>
                <w:rFonts w:ascii="Arial" w:hAnsi="Arial" w:cs="Arial"/>
                <w:color w:val="auto"/>
                <w:sz w:val="22"/>
              </w:rPr>
              <w:t>le remplacement éventuel de l’élément défectueux s’effectuera après consignation pour son propre compte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3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effectuer une opération de connexion et de déconnexion en présence de tension en zone de voisinage renforcé BT</w:t>
            </w: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*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(zone 4)</w:t>
            </w:r>
          </w:p>
        </w:tc>
      </w:tr>
      <w:tr w:rsidR="00C415EF" w:rsidRPr="000952A0" w:rsidTr="00C415EF">
        <w:tc>
          <w:tcPr>
            <w:tcW w:w="2141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415EF" w:rsidRPr="000952A0" w:rsidRDefault="00C415EF" w:rsidP="002C1C37">
            <w:pPr>
              <w:pStyle w:val="Normal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8"/>
              </w:rPr>
            </w:pPr>
            <w:r w:rsidRPr="000952A0">
              <w:rPr>
                <w:rFonts w:ascii="Arial" w:hAnsi="Arial" w:cs="Arial"/>
                <w:b/>
                <w:color w:val="auto"/>
                <w:sz w:val="22"/>
                <w:szCs w:val="28"/>
              </w:rPr>
              <w:t>BC – BCL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15EF" w:rsidRPr="000952A0" w:rsidRDefault="00C415EF" w:rsidP="002C1C37">
            <w:pPr>
              <w:pStyle w:val="Normal1"/>
              <w:snapToGrid w:val="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1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réaliser une consignation en une étape d'une installation électrique puis déconsigner à la fin des travaux (BCL)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2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réaliser une consignation en une étape d'une installation électrique avec présence d’énergie résiduelle ou risque de réalimentation puis déconsigner à la fin des travaux (BC)</w:t>
            </w:r>
          </w:p>
          <w:p w:rsidR="00C415EF" w:rsidRPr="000952A0" w:rsidRDefault="00C415EF" w:rsidP="002C1C37">
            <w:pPr>
              <w:pStyle w:val="Normal1"/>
              <w:spacing w:before="120"/>
              <w:rPr>
                <w:rFonts w:ascii="Arial" w:hAnsi="Arial" w:cs="Arial"/>
                <w:bCs/>
                <w:color w:val="auto"/>
                <w:sz w:val="22"/>
              </w:rPr>
            </w:pPr>
            <w:r w:rsidRPr="000952A0">
              <w:rPr>
                <w:rFonts w:ascii="Arial" w:hAnsi="Arial" w:cs="Arial"/>
                <w:b/>
                <w:bCs/>
                <w:color w:val="auto"/>
                <w:sz w:val="22"/>
              </w:rPr>
              <w:t>Tâche 3 :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 xml:space="preserve"> réaliser la première étape d'une consignation en deux étapes d'une installation électrique avec présence d’énergie résiduelle ou risque de réalimentation</w:t>
            </w:r>
            <w:r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  <w:r w:rsidRPr="000952A0">
              <w:rPr>
                <w:rFonts w:ascii="Arial" w:hAnsi="Arial" w:cs="Arial"/>
                <w:bCs/>
                <w:color w:val="auto"/>
                <w:sz w:val="22"/>
              </w:rPr>
              <w:t>puis terminer la déconsignation à la fin des travaux (BC)</w:t>
            </w:r>
          </w:p>
        </w:tc>
      </w:tr>
    </w:tbl>
    <w:p w:rsidR="00C415EF" w:rsidRPr="007D2C51" w:rsidRDefault="00C415EF" w:rsidP="00C415EF">
      <w:pPr>
        <w:spacing w:after="120"/>
      </w:pPr>
    </w:p>
    <w:p w:rsidR="00B50A96" w:rsidRPr="00C415EF" w:rsidRDefault="00C415EF" w:rsidP="00C415EF">
      <w:pPr>
        <w:spacing w:after="120"/>
        <w:jc w:val="both"/>
        <w:rPr>
          <w:rFonts w:ascii="Arial" w:hAnsi="Arial" w:cs="Arial"/>
          <w:b/>
          <w:bCs/>
          <w:sz w:val="22"/>
        </w:rPr>
      </w:pPr>
      <w:r w:rsidRPr="000952A0">
        <w:rPr>
          <w:rFonts w:ascii="Arial" w:hAnsi="Arial" w:cs="Arial"/>
          <w:b/>
          <w:bCs/>
          <w:sz w:val="22"/>
        </w:rPr>
        <w:t xml:space="preserve">*Toute opération réalisée en zone de voisinage renforcé </w:t>
      </w:r>
      <w:r>
        <w:rPr>
          <w:rFonts w:ascii="Arial" w:hAnsi="Arial" w:cs="Arial"/>
          <w:b/>
          <w:bCs/>
          <w:sz w:val="22"/>
        </w:rPr>
        <w:t xml:space="preserve">BT </w:t>
      </w:r>
      <w:r w:rsidRPr="000952A0">
        <w:rPr>
          <w:rFonts w:ascii="Arial" w:hAnsi="Arial" w:cs="Arial"/>
          <w:b/>
          <w:bCs/>
          <w:sz w:val="22"/>
        </w:rPr>
        <w:t xml:space="preserve">(zone 4) décrite dans la liste des tâches professionnelles est issue de l’analyse des risques et de la situation spécifique de la tâche à accomplir et concluant </w:t>
      </w:r>
      <w:r w:rsidRPr="000952A0">
        <w:rPr>
          <w:rFonts w:ascii="Arial" w:hAnsi="Arial" w:cs="Arial"/>
          <w:b/>
          <w:bCs/>
          <w:sz w:val="22"/>
          <w:u w:val="single"/>
        </w:rPr>
        <w:t>qu’il n’existe aucune autre alternative</w:t>
      </w:r>
      <w:r w:rsidRPr="000952A0">
        <w:rPr>
          <w:rFonts w:ascii="Arial" w:hAnsi="Arial" w:cs="Arial"/>
          <w:b/>
          <w:bCs/>
          <w:sz w:val="22"/>
        </w:rPr>
        <w:t xml:space="preserve"> que d’opérer dans la zone de voisinage renforcé.</w:t>
      </w:r>
    </w:p>
    <w:sectPr w:rsidR="00B50A96" w:rsidRPr="00C415EF" w:rsidSect="00C415E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2"/>
      <w:numFmt w:val="bulle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Comic Sans MS" w:hAnsi="Comic Sans MS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021" w:hanging="284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EF"/>
    <w:rsid w:val="00601727"/>
    <w:rsid w:val="00B50A96"/>
    <w:rsid w:val="00C415EF"/>
    <w:rsid w:val="00D342C0"/>
    <w:rsid w:val="00E6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415EF"/>
    <w:pPr>
      <w:widowControl w:val="0"/>
      <w:suppressAutoHyphens/>
      <w:autoSpaceDE w:val="0"/>
      <w:spacing w:after="0" w:line="240" w:lineRule="auto"/>
    </w:pPr>
    <w:rPr>
      <w:rFonts w:ascii="The Sans Bold" w:eastAsia="Arial" w:hAnsi="The Sans Bold" w:cs="The Sans Bold"/>
      <w:color w:val="000000"/>
      <w:sz w:val="24"/>
      <w:szCs w:val="24"/>
      <w:lang w:eastAsia="ar-SA"/>
    </w:rPr>
  </w:style>
  <w:style w:type="paragraph" w:customStyle="1" w:styleId="CM40">
    <w:name w:val="CM40"/>
    <w:basedOn w:val="Normal1"/>
    <w:next w:val="Normal1"/>
    <w:rsid w:val="00C415EF"/>
    <w:pPr>
      <w:spacing w:after="123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415EF"/>
    <w:pPr>
      <w:widowControl w:val="0"/>
      <w:suppressAutoHyphens/>
      <w:autoSpaceDE w:val="0"/>
      <w:spacing w:after="0" w:line="240" w:lineRule="auto"/>
    </w:pPr>
    <w:rPr>
      <w:rFonts w:ascii="The Sans Bold" w:eastAsia="Arial" w:hAnsi="The Sans Bold" w:cs="The Sans Bold"/>
      <w:color w:val="000000"/>
      <w:sz w:val="24"/>
      <w:szCs w:val="24"/>
      <w:lang w:eastAsia="ar-SA"/>
    </w:rPr>
  </w:style>
  <w:style w:type="paragraph" w:customStyle="1" w:styleId="CM40">
    <w:name w:val="CM40"/>
    <w:basedOn w:val="Normal1"/>
    <w:next w:val="Normal1"/>
    <w:rsid w:val="00C415EF"/>
    <w:pPr>
      <w:spacing w:after="123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Jean-François Ansoud</cp:lastModifiedBy>
  <cp:revision>3</cp:revision>
  <dcterms:created xsi:type="dcterms:W3CDTF">2012-08-31T19:40:00Z</dcterms:created>
  <dcterms:modified xsi:type="dcterms:W3CDTF">2013-10-10T09:34:00Z</dcterms:modified>
</cp:coreProperties>
</file>